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DDD49" w14:textId="46775CE2" w:rsidR="00CE4849" w:rsidRDefault="0098345D">
      <w:proofErr w:type="spellStart"/>
      <w:r>
        <w:t>ImpervaSeal</w:t>
      </w:r>
      <w:proofErr w:type="spellEnd"/>
      <w:r>
        <w:t xml:space="preserve"> 802 is an ultrathin</w:t>
      </w:r>
      <w:r w:rsidR="00D57525">
        <w:t>, VOC compliant</w:t>
      </w:r>
      <w:r>
        <w:t xml:space="preserve"> coating </w:t>
      </w:r>
      <w:r w:rsidR="00D57525">
        <w:t xml:space="preserve">that will change the way projects are designed and completed.    Using up to 8 times less product to accomplish the same, or better result, </w:t>
      </w:r>
      <w:proofErr w:type="spellStart"/>
      <w:r w:rsidR="00D57525">
        <w:t>ImpervaSeal</w:t>
      </w:r>
      <w:proofErr w:type="spellEnd"/>
      <w:r w:rsidR="00D57525">
        <w:t xml:space="preserve"> 802 delivers more for less.  </w:t>
      </w:r>
      <w:r>
        <w:t xml:space="preserve">Featuring high gloss and color retention, excellent corrosion protection and easy to clean surfaces, </w:t>
      </w:r>
      <w:proofErr w:type="spellStart"/>
      <w:r>
        <w:t>ImpervaSeal</w:t>
      </w:r>
      <w:proofErr w:type="spellEnd"/>
      <w:r>
        <w:t xml:space="preserve"> 802 is unparalleled in the coating industry.   Can be applied to metals, ceramics and plastics.</w:t>
      </w:r>
    </w:p>
    <w:p w14:paraId="28E052F5" w14:textId="40DB4A5C" w:rsidR="0098345D" w:rsidRDefault="0098345D"/>
    <w:p w14:paraId="37C07E98" w14:textId="4A833502" w:rsidR="0098345D" w:rsidRDefault="0098345D">
      <w:r>
        <w:t>Surface Preparation</w:t>
      </w:r>
    </w:p>
    <w:p w14:paraId="269579C6" w14:textId="45756FCF" w:rsidR="0098345D" w:rsidRDefault="0098345D">
      <w:r>
        <w:t xml:space="preserve">Metal surfaces should be abraded with 80 grit to remove any surface rust or contaminants.  Immediately clean the surface with a good degreaser.   Surface must be clean and dry before applying primers.   Apply primer, following manufacturer’s instructions regarding film thickness, dry times and cure times.   </w:t>
      </w:r>
    </w:p>
    <w:p w14:paraId="454F20A8" w14:textId="07A49950" w:rsidR="0098345D" w:rsidRDefault="0098345D"/>
    <w:p w14:paraId="509A4217" w14:textId="04CB7929" w:rsidR="0098345D" w:rsidRDefault="0098345D">
      <w:r>
        <w:t>Application</w:t>
      </w:r>
    </w:p>
    <w:p w14:paraId="2ADC9D92" w14:textId="265772F6" w:rsidR="0098345D" w:rsidRDefault="0098345D">
      <w:r>
        <w:t xml:space="preserve">After primer is cured, apply </w:t>
      </w:r>
      <w:proofErr w:type="spellStart"/>
      <w:r>
        <w:t>ImpervaSeal</w:t>
      </w:r>
      <w:proofErr w:type="spellEnd"/>
      <w:r>
        <w:t xml:space="preserve"> 802 with an HVLP (High Volume Low Pressure) spray gun.   The spray gun should have a 1.0mm needle and cap.   Prior to application, </w:t>
      </w:r>
      <w:proofErr w:type="spellStart"/>
      <w:r>
        <w:t>ImpervaSeal</w:t>
      </w:r>
      <w:proofErr w:type="spellEnd"/>
      <w:r>
        <w:t xml:space="preserve"> should be shaken for a minimum of 15 minutes prior to use.   </w:t>
      </w:r>
      <w:proofErr w:type="spellStart"/>
      <w:r>
        <w:t>ImpervaSeal</w:t>
      </w:r>
      <w:proofErr w:type="spellEnd"/>
      <w:r>
        <w:t xml:space="preserve"> comes ready to apply</w:t>
      </w:r>
      <w:r w:rsidR="00A269E7">
        <w:t xml:space="preserve">.   Travel speed should be between 18-24 inches per second at </w:t>
      </w:r>
      <w:proofErr w:type="gramStart"/>
      <w:r w:rsidR="00A269E7">
        <w:t>a distance of 5-6</w:t>
      </w:r>
      <w:proofErr w:type="gramEnd"/>
      <w:r w:rsidR="00A269E7">
        <w:t xml:space="preserve"> inches.   DO NOT DOUBLE COAT.   An overlap of 50-60% is recommended.    Allow to completely dry and then measure with a Dry Film Thickness</w:t>
      </w:r>
      <w:r w:rsidR="00D57525">
        <w:t xml:space="preserve"> (DFT)</w:t>
      </w:r>
      <w:r w:rsidR="00A269E7">
        <w:t xml:space="preserve"> device to confirm that the coating has been applied between 15 and 25nm (0.6 to 1 mil)</w:t>
      </w:r>
      <w:r w:rsidR="00A96AA5">
        <w:t xml:space="preserve">.   </w:t>
      </w:r>
      <w:r w:rsidR="00D57525">
        <w:t>DFTs over 1 mil are not recommended and could cause the coating to fail.</w:t>
      </w:r>
    </w:p>
    <w:p w14:paraId="77606CAE" w14:textId="49364A3E" w:rsidR="00A96AA5" w:rsidRDefault="00A96AA5"/>
    <w:p w14:paraId="42CB1041" w14:textId="5ABD46BC" w:rsidR="00A96AA5" w:rsidRDefault="00A96AA5">
      <w:r>
        <w:t>Dry and Curing</w:t>
      </w:r>
    </w:p>
    <w:p w14:paraId="2A4F72B7" w14:textId="002AA6DD" w:rsidR="00A96AA5" w:rsidRDefault="00A96AA5">
      <w:proofErr w:type="spellStart"/>
      <w:r>
        <w:t>ImpervaSeal</w:t>
      </w:r>
      <w:proofErr w:type="spellEnd"/>
      <w:r>
        <w:t xml:space="preserve"> 802 dries quickly and air cures.   Please use the table below as a guideline.   Environmental conditions will impact the outcome.</w:t>
      </w:r>
    </w:p>
    <w:tbl>
      <w:tblPr>
        <w:tblW w:w="88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00"/>
        <w:gridCol w:w="1640"/>
        <w:gridCol w:w="1640"/>
        <w:gridCol w:w="1640"/>
        <w:gridCol w:w="1640"/>
      </w:tblGrid>
      <w:tr w:rsidR="00D57525" w:rsidRPr="00D57525" w14:paraId="68E44508" w14:textId="77777777" w:rsidTr="00D57525">
        <w:trPr>
          <w:trHeight w:val="658"/>
        </w:trPr>
        <w:tc>
          <w:tcPr>
            <w:tcW w:w="2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30D48D9" w14:textId="77777777" w:rsidR="00D57525" w:rsidRPr="00D57525" w:rsidRDefault="00D57525" w:rsidP="00D57525">
            <w:r w:rsidRPr="00D57525">
              <w:rPr>
                <w:b/>
                <w:bCs/>
              </w:rPr>
              <w:t>Temperature</w:t>
            </w:r>
          </w:p>
        </w:tc>
        <w:tc>
          <w:tcPr>
            <w:tcW w:w="1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FB08C5E" w14:textId="77777777" w:rsidR="00D57525" w:rsidRPr="00D57525" w:rsidRDefault="00D57525" w:rsidP="00D57525">
            <w:r w:rsidRPr="00D57525">
              <w:rPr>
                <w:b/>
                <w:bCs/>
              </w:rPr>
              <w:t>Touch</w:t>
            </w:r>
          </w:p>
        </w:tc>
        <w:tc>
          <w:tcPr>
            <w:tcW w:w="1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305BC53" w14:textId="77777777" w:rsidR="00D57525" w:rsidRPr="00D57525" w:rsidRDefault="00D57525" w:rsidP="00D57525">
            <w:r w:rsidRPr="00D57525">
              <w:rPr>
                <w:b/>
                <w:bCs/>
              </w:rPr>
              <w:t>Handle</w:t>
            </w:r>
          </w:p>
        </w:tc>
        <w:tc>
          <w:tcPr>
            <w:tcW w:w="1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E16B59D" w14:textId="77777777" w:rsidR="00D57525" w:rsidRPr="00D57525" w:rsidRDefault="00D57525" w:rsidP="00D57525">
            <w:r w:rsidRPr="00D57525">
              <w:rPr>
                <w:b/>
                <w:bCs/>
              </w:rPr>
              <w:t>Recoat</w:t>
            </w:r>
          </w:p>
        </w:tc>
        <w:tc>
          <w:tcPr>
            <w:tcW w:w="1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8420C73" w14:textId="77777777" w:rsidR="00D57525" w:rsidRPr="00D57525" w:rsidRDefault="00D57525" w:rsidP="00D57525">
            <w:r w:rsidRPr="00D57525">
              <w:rPr>
                <w:b/>
                <w:bCs/>
              </w:rPr>
              <w:t>Cure</w:t>
            </w:r>
          </w:p>
        </w:tc>
      </w:tr>
      <w:tr w:rsidR="00D57525" w:rsidRPr="00D57525" w14:paraId="644DE4C5" w14:textId="77777777" w:rsidTr="00D57525">
        <w:trPr>
          <w:trHeight w:val="539"/>
        </w:trPr>
        <w:tc>
          <w:tcPr>
            <w:tcW w:w="2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CE7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8393906" w14:textId="77777777" w:rsidR="00D57525" w:rsidRPr="00D57525" w:rsidRDefault="00D57525" w:rsidP="00D57525">
            <w:r w:rsidRPr="00D57525">
              <w:rPr>
                <w:b/>
                <w:bCs/>
              </w:rPr>
              <w:t>40°F/4.5°C</w:t>
            </w:r>
          </w:p>
        </w:tc>
        <w:tc>
          <w:tcPr>
            <w:tcW w:w="1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CE7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64D4AFB" w14:textId="77777777" w:rsidR="00D57525" w:rsidRPr="00D57525" w:rsidRDefault="00D57525" w:rsidP="00D57525">
            <w:r w:rsidRPr="00D57525">
              <w:t>5 hours</w:t>
            </w:r>
          </w:p>
        </w:tc>
        <w:tc>
          <w:tcPr>
            <w:tcW w:w="1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CE7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E427B0A" w14:textId="77777777" w:rsidR="00D57525" w:rsidRPr="00D57525" w:rsidRDefault="00D57525" w:rsidP="00D57525">
            <w:r w:rsidRPr="00D57525">
              <w:t>20 hours</w:t>
            </w:r>
          </w:p>
        </w:tc>
        <w:tc>
          <w:tcPr>
            <w:tcW w:w="1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CE7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7771224" w14:textId="77777777" w:rsidR="00D57525" w:rsidRPr="00D57525" w:rsidRDefault="00D57525" w:rsidP="00D57525">
            <w:r w:rsidRPr="00D57525">
              <w:t>20 hours</w:t>
            </w:r>
          </w:p>
        </w:tc>
        <w:tc>
          <w:tcPr>
            <w:tcW w:w="1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CE7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DFFAAF2" w14:textId="77777777" w:rsidR="00D57525" w:rsidRPr="00D57525" w:rsidRDefault="00D57525" w:rsidP="00D57525">
            <w:r w:rsidRPr="00D57525">
              <w:t>10 days</w:t>
            </w:r>
          </w:p>
        </w:tc>
      </w:tr>
      <w:tr w:rsidR="00D57525" w:rsidRPr="00D57525" w14:paraId="7EF3BC2E" w14:textId="77777777" w:rsidTr="00D57525">
        <w:trPr>
          <w:trHeight w:val="835"/>
        </w:trPr>
        <w:tc>
          <w:tcPr>
            <w:tcW w:w="2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CE7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B4E581F" w14:textId="77777777" w:rsidR="00D57525" w:rsidRPr="00D57525" w:rsidRDefault="00D57525" w:rsidP="00D57525">
            <w:r w:rsidRPr="00D57525">
              <w:rPr>
                <w:b/>
                <w:bCs/>
              </w:rPr>
              <w:t>50°F/10°C</w:t>
            </w:r>
          </w:p>
        </w:tc>
        <w:tc>
          <w:tcPr>
            <w:tcW w:w="1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CE7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7976F16" w14:textId="77777777" w:rsidR="00D57525" w:rsidRPr="00D57525" w:rsidRDefault="00D57525" w:rsidP="00D57525">
            <w:r w:rsidRPr="00D57525">
              <w:t>2 hours</w:t>
            </w:r>
          </w:p>
        </w:tc>
        <w:tc>
          <w:tcPr>
            <w:tcW w:w="1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CE7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78D5FF4" w14:textId="77777777" w:rsidR="00D57525" w:rsidRPr="00D57525" w:rsidRDefault="00D57525" w:rsidP="00D57525">
            <w:r w:rsidRPr="00D57525">
              <w:t>16 hours</w:t>
            </w:r>
          </w:p>
        </w:tc>
        <w:tc>
          <w:tcPr>
            <w:tcW w:w="1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CE7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5A6FFFE" w14:textId="77777777" w:rsidR="00D57525" w:rsidRPr="00D57525" w:rsidRDefault="00D57525" w:rsidP="00D57525">
            <w:r w:rsidRPr="00D57525">
              <w:t>16 hours</w:t>
            </w:r>
          </w:p>
        </w:tc>
        <w:tc>
          <w:tcPr>
            <w:tcW w:w="1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CE7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2B7598F" w14:textId="77777777" w:rsidR="00D57525" w:rsidRPr="00D57525" w:rsidRDefault="00D57525" w:rsidP="00D57525">
            <w:r w:rsidRPr="00D57525">
              <w:t>7 days</w:t>
            </w:r>
          </w:p>
        </w:tc>
      </w:tr>
      <w:tr w:rsidR="00D57525" w:rsidRPr="00D57525" w14:paraId="785755DE" w14:textId="77777777" w:rsidTr="00D57525">
        <w:trPr>
          <w:trHeight w:val="835"/>
        </w:trPr>
        <w:tc>
          <w:tcPr>
            <w:tcW w:w="2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CE7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7872D04" w14:textId="77777777" w:rsidR="00D57525" w:rsidRPr="00D57525" w:rsidRDefault="00D57525" w:rsidP="00D57525">
            <w:r w:rsidRPr="00D57525">
              <w:rPr>
                <w:b/>
                <w:bCs/>
              </w:rPr>
              <w:t>77°F/25°C</w:t>
            </w:r>
          </w:p>
        </w:tc>
        <w:tc>
          <w:tcPr>
            <w:tcW w:w="1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CE7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7D6D97B" w14:textId="77777777" w:rsidR="00D57525" w:rsidRPr="00D57525" w:rsidRDefault="00D57525" w:rsidP="00D57525">
            <w:r w:rsidRPr="00D57525">
              <w:t>1 hour</w:t>
            </w:r>
          </w:p>
        </w:tc>
        <w:tc>
          <w:tcPr>
            <w:tcW w:w="1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CE7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8621429" w14:textId="77777777" w:rsidR="00D57525" w:rsidRPr="00D57525" w:rsidRDefault="00D57525" w:rsidP="00D57525">
            <w:r w:rsidRPr="00D57525">
              <w:t>4 hours</w:t>
            </w:r>
          </w:p>
        </w:tc>
        <w:tc>
          <w:tcPr>
            <w:tcW w:w="1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CE7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5AC1F85" w14:textId="77777777" w:rsidR="00D57525" w:rsidRPr="00D57525" w:rsidRDefault="00D57525" w:rsidP="00D57525">
            <w:r w:rsidRPr="00D57525">
              <w:t>4 hours</w:t>
            </w:r>
          </w:p>
        </w:tc>
        <w:tc>
          <w:tcPr>
            <w:tcW w:w="1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CE7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741F4C1" w14:textId="77777777" w:rsidR="00D57525" w:rsidRPr="00D57525" w:rsidRDefault="00D57525" w:rsidP="00D57525">
            <w:r w:rsidRPr="00D57525">
              <w:t>7 days</w:t>
            </w:r>
          </w:p>
        </w:tc>
      </w:tr>
      <w:tr w:rsidR="00D57525" w:rsidRPr="00D57525" w14:paraId="21BF266B" w14:textId="77777777" w:rsidTr="00D57525">
        <w:trPr>
          <w:trHeight w:val="835"/>
        </w:trPr>
        <w:tc>
          <w:tcPr>
            <w:tcW w:w="2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CE7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98629F9" w14:textId="77777777" w:rsidR="00D57525" w:rsidRPr="00D57525" w:rsidRDefault="00D57525" w:rsidP="00D57525">
            <w:r w:rsidRPr="00D57525">
              <w:rPr>
                <w:b/>
                <w:bCs/>
              </w:rPr>
              <w:t>100°F/38°C</w:t>
            </w:r>
          </w:p>
        </w:tc>
        <w:tc>
          <w:tcPr>
            <w:tcW w:w="1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CE7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B0506E8" w14:textId="77777777" w:rsidR="00D57525" w:rsidRPr="00D57525" w:rsidRDefault="00D57525" w:rsidP="00D57525">
            <w:r w:rsidRPr="00D57525">
              <w:t>20 min</w:t>
            </w:r>
          </w:p>
        </w:tc>
        <w:tc>
          <w:tcPr>
            <w:tcW w:w="1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CE7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AE6B6C4" w14:textId="77777777" w:rsidR="00D57525" w:rsidRPr="00D57525" w:rsidRDefault="00D57525" w:rsidP="00D57525">
            <w:r w:rsidRPr="00D57525">
              <w:t>2 hours</w:t>
            </w:r>
          </w:p>
        </w:tc>
        <w:tc>
          <w:tcPr>
            <w:tcW w:w="1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CE7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FFE57CB" w14:textId="77777777" w:rsidR="00D57525" w:rsidRPr="00D57525" w:rsidRDefault="00D57525" w:rsidP="00D57525">
            <w:r w:rsidRPr="00D57525">
              <w:t>2 hours</w:t>
            </w:r>
          </w:p>
        </w:tc>
        <w:tc>
          <w:tcPr>
            <w:tcW w:w="1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CE7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B7AD160" w14:textId="77777777" w:rsidR="00D57525" w:rsidRPr="00D57525" w:rsidRDefault="00D57525" w:rsidP="00D57525">
            <w:r w:rsidRPr="00D57525">
              <w:t>7 days</w:t>
            </w:r>
          </w:p>
        </w:tc>
      </w:tr>
    </w:tbl>
    <w:p w14:paraId="7F501A36" w14:textId="3E2F5BEE" w:rsidR="00A96AA5" w:rsidRDefault="00A96AA5"/>
    <w:p w14:paraId="39E69027" w14:textId="5D350813" w:rsidR="00296984" w:rsidRDefault="00296984"/>
    <w:p w14:paraId="442C2E0D" w14:textId="77777777" w:rsidR="00021F8E" w:rsidRDefault="00021F8E" w:rsidP="00021F8E">
      <w:r>
        <w:lastRenderedPageBreak/>
        <w:t>Handling and storage:</w:t>
      </w:r>
    </w:p>
    <w:p w14:paraId="2E198022" w14:textId="6723881E" w:rsidR="00021F8E" w:rsidRDefault="00021F8E" w:rsidP="00021F8E">
      <w:r>
        <w:t xml:space="preserve">Keep only in original container. Absolutely not to be handled by children. Do </w:t>
      </w:r>
      <w:proofErr w:type="gramStart"/>
      <w:r>
        <w:t>no</w:t>
      </w:r>
      <w:r w:rsidR="00DB53C0">
        <w:t>t</w:t>
      </w:r>
      <w:r>
        <w:t xml:space="preserve">  keep</w:t>
      </w:r>
      <w:proofErr w:type="gramEnd"/>
      <w:r>
        <w:t xml:space="preserve"> in temperatures above 20°C. Open the  container periodically to release potential built-up pressure (ammonia gas). Container to be kept tightly closed in a dry, well-ventilated place.</w:t>
      </w:r>
    </w:p>
    <w:p w14:paraId="1F301D4E" w14:textId="77777777" w:rsidR="00021F8E" w:rsidRDefault="00021F8E"/>
    <w:p w14:paraId="5683ADEC" w14:textId="23556C80" w:rsidR="00296984" w:rsidRDefault="00021F8E">
      <w:r>
        <w:t>Safety and Warnings</w:t>
      </w:r>
    </w:p>
    <w:p w14:paraId="556CBA86" w14:textId="0052DB32" w:rsidR="00296984" w:rsidRDefault="00296984" w:rsidP="00296984">
      <w:r>
        <w:t>Signal Word: Danger</w:t>
      </w:r>
    </w:p>
    <w:p w14:paraId="78715098" w14:textId="599F67B6" w:rsidR="00296984" w:rsidRDefault="00296984" w:rsidP="00BD73D3">
      <w:pPr>
        <w:autoSpaceDE w:val="0"/>
        <w:autoSpaceDN w:val="0"/>
        <w:adjustRightInd w:val="0"/>
        <w:spacing w:after="0" w:line="240" w:lineRule="auto"/>
      </w:pPr>
      <w:r>
        <w:t xml:space="preserve">Contains: </w:t>
      </w:r>
      <w:r w:rsidR="00BD73D3">
        <w:rPr>
          <w:rFonts w:ascii="TT177t00" w:hAnsi="TT177t00" w:cs="TT177t00"/>
          <w:sz w:val="20"/>
          <w:szCs w:val="20"/>
        </w:rPr>
        <w:t>n-butyl methacrylate</w:t>
      </w:r>
      <w:r w:rsidR="00BD73D3">
        <w:t xml:space="preserve"> </w:t>
      </w:r>
      <w:r>
        <w:t>(</w:t>
      </w:r>
      <w:r w:rsidR="00BD73D3">
        <w:rPr>
          <w:rFonts w:ascii="TT177t00" w:hAnsi="TT177t00" w:cs="TT177t00"/>
          <w:sz w:val="20"/>
          <w:szCs w:val="20"/>
        </w:rPr>
        <w:t>97-88-1</w:t>
      </w:r>
      <w:r>
        <w:t xml:space="preserve">); </w:t>
      </w:r>
      <w:r w:rsidR="00BD73D3">
        <w:rPr>
          <w:rFonts w:ascii="TT177t00" w:hAnsi="TT177t00" w:cs="TT177t00"/>
          <w:sz w:val="20"/>
          <w:szCs w:val="20"/>
        </w:rPr>
        <w:t>3-aminopropyltriethoxysilane</w:t>
      </w:r>
      <w:r>
        <w:t xml:space="preserve"> (</w:t>
      </w:r>
      <w:r w:rsidR="00BD73D3">
        <w:rPr>
          <w:rFonts w:ascii="TT177t00" w:hAnsi="TT177t00" w:cs="TT177t00"/>
          <w:sz w:val="20"/>
          <w:szCs w:val="20"/>
        </w:rPr>
        <w:t>919-30-2</w:t>
      </w:r>
      <w:r>
        <w:t xml:space="preserve">). The following percentage of the mixture consists of ingredient(s) with unknown hazards to the aquatic environment: </w:t>
      </w:r>
      <w:r w:rsidR="00BD73D3">
        <w:t>2</w:t>
      </w:r>
      <w:r>
        <w:t xml:space="preserve">% </w:t>
      </w:r>
    </w:p>
    <w:p w14:paraId="2E2DDF4A" w14:textId="646692BF" w:rsidR="00296984" w:rsidRDefault="00296984" w:rsidP="00296984">
      <w:r>
        <w:t>Hazard statements: Highly flammable liquid and vapor. Harmful if swallowed. Causes severe skin burns and eye damage. May cause drowsiness or dizziness. Harmful to aquatic life with long lasting effects.</w:t>
      </w:r>
    </w:p>
    <w:p w14:paraId="1C3EB84E" w14:textId="501B1DAF" w:rsidR="00296984" w:rsidRDefault="00296984" w:rsidP="00296984">
      <w:r>
        <w:t>Precautionary statements: Keep away from heat/sparks/open flames/ hot surfaces. No smoking. IF ON SKIN (or hair):  Remove/Take off all contaminated clothing immediately and rinse skin with water/ shower. IF IN EYES rinse cautiously with water for several minutes. Remove contact lenses, if present and easy to do. Continue rinsing. Refer to attached safety data sheets and/or instructions for use.</w:t>
      </w:r>
    </w:p>
    <w:p w14:paraId="6A8845AD" w14:textId="77777777" w:rsidR="0058661A" w:rsidRDefault="0058661A" w:rsidP="0058661A">
      <w:pPr>
        <w:autoSpaceDE w:val="0"/>
        <w:autoSpaceDN w:val="0"/>
        <w:adjustRightInd w:val="0"/>
        <w:spacing w:after="0" w:line="240" w:lineRule="auto"/>
        <w:rPr>
          <w:rFonts w:ascii="TT17At00" w:hAnsi="TT17At00" w:cs="TT17At00"/>
          <w:sz w:val="20"/>
          <w:szCs w:val="20"/>
        </w:rPr>
      </w:pPr>
      <w:r>
        <w:rPr>
          <w:rFonts w:ascii="TT17At00" w:hAnsi="TT17At00" w:cs="TT17At00"/>
          <w:sz w:val="20"/>
          <w:szCs w:val="20"/>
        </w:rPr>
        <w:t>GHS label elements</w:t>
      </w:r>
    </w:p>
    <w:p w14:paraId="08E5E1A8" w14:textId="77777777" w:rsidR="0058661A" w:rsidRDefault="0058661A" w:rsidP="0058661A">
      <w:pPr>
        <w:autoSpaceDE w:val="0"/>
        <w:autoSpaceDN w:val="0"/>
        <w:adjustRightInd w:val="0"/>
        <w:spacing w:after="0" w:line="240" w:lineRule="auto"/>
        <w:rPr>
          <w:rFonts w:ascii="TT177t00" w:hAnsi="TT177t00" w:cs="TT177t00"/>
          <w:sz w:val="20"/>
          <w:szCs w:val="20"/>
        </w:rPr>
      </w:pPr>
      <w:r>
        <w:rPr>
          <w:rFonts w:ascii="TT177t00" w:hAnsi="TT177t00" w:cs="TT177t00"/>
          <w:sz w:val="20"/>
          <w:szCs w:val="20"/>
        </w:rPr>
        <w:t>The product is classified and labeled according to the Globally Harmonized System (GHS).</w:t>
      </w:r>
    </w:p>
    <w:p w14:paraId="760E9B68" w14:textId="77777777" w:rsidR="0058661A" w:rsidRDefault="0058661A" w:rsidP="0058661A">
      <w:pPr>
        <w:autoSpaceDE w:val="0"/>
        <w:autoSpaceDN w:val="0"/>
        <w:adjustRightInd w:val="0"/>
        <w:spacing w:after="0" w:line="240" w:lineRule="auto"/>
        <w:rPr>
          <w:rFonts w:ascii="TT17At00" w:hAnsi="TT17At00" w:cs="TT17At00"/>
          <w:sz w:val="20"/>
          <w:szCs w:val="20"/>
        </w:rPr>
      </w:pPr>
      <w:r>
        <w:rPr>
          <w:rFonts w:ascii="TT177t00" w:hAnsi="TT177t00" w:cs="TT177t00"/>
          <w:sz w:val="20"/>
          <w:szCs w:val="20"/>
        </w:rPr>
        <w:t xml:space="preserve">· </w:t>
      </w:r>
      <w:r>
        <w:rPr>
          <w:rFonts w:ascii="TT17At00" w:hAnsi="TT17At00" w:cs="TT17At00"/>
          <w:sz w:val="20"/>
          <w:szCs w:val="20"/>
        </w:rPr>
        <w:t>Hazard pictograms:</w:t>
      </w:r>
    </w:p>
    <w:p w14:paraId="296CD985" w14:textId="77777777" w:rsidR="0058661A" w:rsidRDefault="0058661A" w:rsidP="0058661A">
      <w:pPr>
        <w:autoSpaceDE w:val="0"/>
        <w:autoSpaceDN w:val="0"/>
        <w:adjustRightInd w:val="0"/>
        <w:spacing w:after="0" w:line="240" w:lineRule="auto"/>
        <w:rPr>
          <w:rFonts w:ascii="TT177t00" w:hAnsi="TT177t00" w:cs="TT177t00"/>
          <w:sz w:val="20"/>
          <w:szCs w:val="20"/>
        </w:rPr>
      </w:pPr>
      <w:r>
        <w:rPr>
          <w:rFonts w:ascii="TT177t00" w:hAnsi="TT177t00" w:cs="TT177t00"/>
          <w:sz w:val="20"/>
          <w:szCs w:val="20"/>
        </w:rPr>
        <w:t>GHS02 GHS07 GHS08</w:t>
      </w:r>
    </w:p>
    <w:p w14:paraId="4FE19D28" w14:textId="77777777" w:rsidR="0058661A" w:rsidRDefault="0058661A" w:rsidP="0058661A">
      <w:pPr>
        <w:autoSpaceDE w:val="0"/>
        <w:autoSpaceDN w:val="0"/>
        <w:adjustRightInd w:val="0"/>
        <w:spacing w:after="0" w:line="240" w:lineRule="auto"/>
        <w:rPr>
          <w:rFonts w:ascii="TT177t00" w:hAnsi="TT177t00" w:cs="TT177t00"/>
          <w:sz w:val="20"/>
          <w:szCs w:val="20"/>
        </w:rPr>
      </w:pPr>
      <w:r>
        <w:rPr>
          <w:rFonts w:ascii="TT177t00" w:hAnsi="TT177t00" w:cs="TT177t00"/>
          <w:sz w:val="20"/>
          <w:szCs w:val="20"/>
        </w:rPr>
        <w:t xml:space="preserve">· </w:t>
      </w:r>
      <w:r>
        <w:rPr>
          <w:rFonts w:ascii="TT17At00" w:hAnsi="TT17At00" w:cs="TT17At00"/>
          <w:sz w:val="20"/>
          <w:szCs w:val="20"/>
        </w:rPr>
        <w:t xml:space="preserve">Signal word: </w:t>
      </w:r>
      <w:r>
        <w:rPr>
          <w:rFonts w:ascii="TT177t00" w:hAnsi="TT177t00" w:cs="TT177t00"/>
          <w:sz w:val="20"/>
          <w:szCs w:val="20"/>
        </w:rPr>
        <w:t>Danger</w:t>
      </w:r>
    </w:p>
    <w:p w14:paraId="1D56D935" w14:textId="77777777" w:rsidR="0058661A" w:rsidRDefault="0058661A" w:rsidP="0058661A">
      <w:pPr>
        <w:autoSpaceDE w:val="0"/>
        <w:autoSpaceDN w:val="0"/>
        <w:adjustRightInd w:val="0"/>
        <w:spacing w:after="0" w:line="240" w:lineRule="auto"/>
        <w:rPr>
          <w:rFonts w:ascii="TT17At00" w:hAnsi="TT17At00" w:cs="TT17At00"/>
          <w:sz w:val="20"/>
          <w:szCs w:val="20"/>
        </w:rPr>
      </w:pPr>
      <w:r>
        <w:rPr>
          <w:rFonts w:ascii="TT177t00" w:hAnsi="TT177t00" w:cs="TT177t00"/>
          <w:sz w:val="20"/>
          <w:szCs w:val="20"/>
        </w:rPr>
        <w:t xml:space="preserve">· </w:t>
      </w:r>
      <w:r>
        <w:rPr>
          <w:rFonts w:ascii="TT17At00" w:hAnsi="TT17At00" w:cs="TT17At00"/>
          <w:sz w:val="20"/>
          <w:szCs w:val="20"/>
        </w:rPr>
        <w:t>Hazard-determining components of labeling:</w:t>
      </w:r>
    </w:p>
    <w:p w14:paraId="27D77948" w14:textId="77777777" w:rsidR="0058661A" w:rsidRDefault="0058661A" w:rsidP="0058661A">
      <w:pPr>
        <w:autoSpaceDE w:val="0"/>
        <w:autoSpaceDN w:val="0"/>
        <w:adjustRightInd w:val="0"/>
        <w:spacing w:after="0" w:line="240" w:lineRule="auto"/>
        <w:rPr>
          <w:rFonts w:ascii="TT177t00" w:hAnsi="TT177t00" w:cs="TT177t00"/>
          <w:sz w:val="20"/>
          <w:szCs w:val="20"/>
        </w:rPr>
      </w:pPr>
      <w:r>
        <w:rPr>
          <w:rFonts w:ascii="TT177t00" w:hAnsi="TT177t00" w:cs="TT177t00"/>
          <w:sz w:val="20"/>
          <w:szCs w:val="20"/>
        </w:rPr>
        <w:t>Proprietary</w:t>
      </w:r>
    </w:p>
    <w:p w14:paraId="10548D62" w14:textId="77777777" w:rsidR="0058661A" w:rsidRDefault="0058661A" w:rsidP="0058661A">
      <w:pPr>
        <w:autoSpaceDE w:val="0"/>
        <w:autoSpaceDN w:val="0"/>
        <w:adjustRightInd w:val="0"/>
        <w:spacing w:after="0" w:line="240" w:lineRule="auto"/>
        <w:rPr>
          <w:rFonts w:ascii="TT177t00" w:hAnsi="TT177t00" w:cs="TT177t00"/>
          <w:sz w:val="20"/>
          <w:szCs w:val="20"/>
        </w:rPr>
      </w:pPr>
      <w:r>
        <w:rPr>
          <w:rFonts w:ascii="TT177t00" w:hAnsi="TT177t00" w:cs="TT177t00"/>
          <w:sz w:val="20"/>
          <w:szCs w:val="20"/>
        </w:rPr>
        <w:t>n-butyl methacrylate</w:t>
      </w:r>
    </w:p>
    <w:p w14:paraId="16C0B45B" w14:textId="77777777" w:rsidR="0058661A" w:rsidRDefault="0058661A" w:rsidP="0058661A">
      <w:pPr>
        <w:autoSpaceDE w:val="0"/>
        <w:autoSpaceDN w:val="0"/>
        <w:adjustRightInd w:val="0"/>
        <w:spacing w:after="0" w:line="240" w:lineRule="auto"/>
        <w:rPr>
          <w:rFonts w:ascii="TT17At00" w:hAnsi="TT17At00" w:cs="TT17At00"/>
          <w:sz w:val="20"/>
          <w:szCs w:val="20"/>
        </w:rPr>
      </w:pPr>
      <w:r>
        <w:rPr>
          <w:rFonts w:ascii="TT177t00" w:hAnsi="TT177t00" w:cs="TT177t00"/>
          <w:sz w:val="20"/>
          <w:szCs w:val="20"/>
        </w:rPr>
        <w:t xml:space="preserve">· </w:t>
      </w:r>
      <w:r>
        <w:rPr>
          <w:rFonts w:ascii="TT17At00" w:hAnsi="TT17At00" w:cs="TT17At00"/>
          <w:sz w:val="20"/>
          <w:szCs w:val="20"/>
        </w:rPr>
        <w:t>Hazard statements:</w:t>
      </w:r>
    </w:p>
    <w:p w14:paraId="5776CDB6" w14:textId="4E53E127" w:rsidR="00296984" w:rsidRDefault="0058661A" w:rsidP="0058661A">
      <w:pPr>
        <w:rPr>
          <w:rFonts w:ascii="TT177t00" w:hAnsi="TT177t00" w:cs="TT177t00"/>
          <w:sz w:val="20"/>
          <w:szCs w:val="20"/>
        </w:rPr>
      </w:pPr>
      <w:r>
        <w:rPr>
          <w:rFonts w:ascii="TT177t00" w:hAnsi="TT177t00" w:cs="TT177t00"/>
          <w:sz w:val="20"/>
          <w:szCs w:val="20"/>
        </w:rPr>
        <w:t>H225 Highly flammable liquid and vapor</w:t>
      </w:r>
    </w:p>
    <w:p w14:paraId="02F169C4" w14:textId="02733A75" w:rsidR="0058661A" w:rsidRDefault="0058661A" w:rsidP="0058661A">
      <w:pPr>
        <w:rPr>
          <w:rFonts w:ascii="TT177t00" w:hAnsi="TT177t00" w:cs="TT177t00"/>
          <w:sz w:val="20"/>
          <w:szCs w:val="20"/>
        </w:rPr>
      </w:pPr>
    </w:p>
    <w:p w14:paraId="19963B1A" w14:textId="5D724FBF" w:rsidR="0058661A" w:rsidRDefault="0058661A" w:rsidP="0058661A">
      <w:r>
        <w:rPr>
          <w:noProof/>
        </w:rPr>
        <w:drawing>
          <wp:inline distT="0" distB="0" distL="0" distR="0" wp14:anchorId="79E461F6" wp14:editId="5C40EA05">
            <wp:extent cx="952500" cy="952500"/>
            <wp:effectExtent l="0" t="0" r="0" b="0"/>
            <wp:docPr id="1" name="Picture 1" descr="Health Hazard Picto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lth Hazard Pictogram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12FA47A" wp14:editId="102971F5">
            <wp:extent cx="952500" cy="952500"/>
            <wp:effectExtent l="0" t="0" r="0" b="0"/>
            <wp:docPr id="2" name="Picture 2" descr="Flame Picto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lame Pictogra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8FBFF7B" wp14:editId="02423413">
            <wp:extent cx="952500" cy="952500"/>
            <wp:effectExtent l="0" t="0" r="0" b="0"/>
            <wp:docPr id="3" name="Picture 3" descr="Exclamation Point Picto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xclamation Point Pictogra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A2EC7" w14:textId="55913A58" w:rsidR="00021C10" w:rsidRDefault="00021C10" w:rsidP="0058661A"/>
    <w:p w14:paraId="3F7828B2" w14:textId="7FBE0FA0" w:rsidR="00021C10" w:rsidRDefault="00021C10" w:rsidP="0058661A"/>
    <w:p w14:paraId="396A5A99" w14:textId="64FC9766" w:rsidR="00021C10" w:rsidRDefault="00021C10" w:rsidP="0058661A">
      <w:r>
        <w:t>Contact Information</w:t>
      </w:r>
    </w:p>
    <w:p w14:paraId="49491E7D" w14:textId="02B68852" w:rsidR="00021C10" w:rsidRDefault="00EF5957" w:rsidP="0058661A">
      <w:r>
        <w:t>For more information or questions, please contact us at the following:</w:t>
      </w:r>
    </w:p>
    <w:p w14:paraId="0C16E51E" w14:textId="7058AC74" w:rsidR="00021C10" w:rsidRDefault="00021C10" w:rsidP="0058661A">
      <w:hyperlink r:id="rId7" w:history="1">
        <w:r w:rsidRPr="00CE6178">
          <w:rPr>
            <w:rStyle w:val="Hyperlink"/>
          </w:rPr>
          <w:t>info@ImpervaSeal.com</w:t>
        </w:r>
      </w:hyperlink>
      <w:r>
        <w:t xml:space="preserve">  </w:t>
      </w:r>
      <w:r w:rsidR="00EF5957">
        <w:t xml:space="preserve">    </w:t>
      </w:r>
      <w:bookmarkStart w:id="0" w:name="_GoBack"/>
      <w:bookmarkEnd w:id="0"/>
      <w:r>
        <w:t xml:space="preserve"> (904) 417 </w:t>
      </w:r>
      <w:r w:rsidR="00EF5957">
        <w:t>–</w:t>
      </w:r>
      <w:r>
        <w:t xml:space="preserve"> 8601</w:t>
      </w:r>
    </w:p>
    <w:p w14:paraId="4EE6DF8B" w14:textId="41875010" w:rsidR="00EF5957" w:rsidRDefault="00EF5957" w:rsidP="0058661A">
      <w:r>
        <w:t>impervaseal.com</w:t>
      </w:r>
    </w:p>
    <w:sectPr w:rsidR="00EF59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177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7A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45D"/>
    <w:rsid w:val="00021C10"/>
    <w:rsid w:val="00021F8E"/>
    <w:rsid w:val="00296984"/>
    <w:rsid w:val="003804D5"/>
    <w:rsid w:val="0058661A"/>
    <w:rsid w:val="006138AF"/>
    <w:rsid w:val="0098345D"/>
    <w:rsid w:val="00A269E7"/>
    <w:rsid w:val="00A96AA5"/>
    <w:rsid w:val="00BD73D3"/>
    <w:rsid w:val="00C510B1"/>
    <w:rsid w:val="00CE4849"/>
    <w:rsid w:val="00D57525"/>
    <w:rsid w:val="00DB53C0"/>
    <w:rsid w:val="00EF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90C7D"/>
  <w15:chartTrackingRefBased/>
  <w15:docId w15:val="{A0E14640-C583-49BA-A43F-69367B8BD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6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61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21C1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1C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8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ImpervaSea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Wedding</dc:creator>
  <cp:keywords/>
  <dc:description/>
  <cp:lastModifiedBy>Douglas Wedding</cp:lastModifiedBy>
  <cp:revision>5</cp:revision>
  <dcterms:created xsi:type="dcterms:W3CDTF">2019-04-22T16:48:00Z</dcterms:created>
  <dcterms:modified xsi:type="dcterms:W3CDTF">2019-04-22T16:56:00Z</dcterms:modified>
</cp:coreProperties>
</file>